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5C" w:rsidRDefault="00493DC8" w:rsidP="00493DC8">
      <w:pPr>
        <w:jc w:val="center"/>
        <w:rPr>
          <w:rFonts w:hint="eastAsia"/>
          <w:b/>
          <w:spacing w:val="10"/>
          <w:sz w:val="32"/>
          <w:szCs w:val="32"/>
        </w:rPr>
      </w:pPr>
      <w:r w:rsidRPr="00493DC8">
        <w:rPr>
          <w:rFonts w:hint="eastAsia"/>
          <w:b/>
          <w:spacing w:val="10"/>
          <w:sz w:val="32"/>
          <w:szCs w:val="32"/>
        </w:rPr>
        <w:t>学院关于学校横向科研项目相关费用分配方案</w:t>
      </w:r>
    </w:p>
    <w:p w:rsidR="001929BF" w:rsidRDefault="00493DC8" w:rsidP="00493DC8">
      <w:pPr>
        <w:jc w:val="center"/>
        <w:rPr>
          <w:rFonts w:hint="eastAsia"/>
          <w:b/>
          <w:spacing w:val="10"/>
          <w:sz w:val="32"/>
          <w:szCs w:val="32"/>
        </w:rPr>
      </w:pPr>
      <w:r w:rsidRPr="00493DC8">
        <w:rPr>
          <w:rFonts w:hint="eastAsia"/>
          <w:b/>
          <w:spacing w:val="10"/>
          <w:sz w:val="32"/>
          <w:szCs w:val="32"/>
        </w:rPr>
        <w:t>登记表</w:t>
      </w:r>
    </w:p>
    <w:p w:rsidR="00493DC8" w:rsidRDefault="00493DC8" w:rsidP="003A753C">
      <w:pPr>
        <w:spacing w:afterLines="50" w:line="460" w:lineRule="exact"/>
        <w:ind w:firstLineChars="200" w:firstLine="600"/>
        <w:rPr>
          <w:rFonts w:asciiTheme="minorEastAsia" w:hAnsiTheme="minorEastAsia" w:hint="eastAsia"/>
          <w:spacing w:val="10"/>
          <w:sz w:val="28"/>
          <w:szCs w:val="28"/>
        </w:rPr>
      </w:pPr>
      <w:r w:rsidRPr="00493DC8">
        <w:rPr>
          <w:rFonts w:asciiTheme="minorEastAsia" w:hAnsiTheme="minorEastAsia" w:hint="eastAsia"/>
          <w:spacing w:val="10"/>
          <w:sz w:val="28"/>
          <w:szCs w:val="28"/>
        </w:rPr>
        <w:t>根据学校《安徽师范大学横向科研项目管理暂行办法》（</w:t>
      </w:r>
      <w:proofErr w:type="gramStart"/>
      <w:r w:rsidRPr="00493DC8">
        <w:rPr>
          <w:rFonts w:asciiTheme="minorEastAsia" w:hAnsiTheme="minorEastAsia" w:hint="eastAsia"/>
          <w:bCs/>
          <w:spacing w:val="10"/>
          <w:sz w:val="28"/>
          <w:szCs w:val="28"/>
        </w:rPr>
        <w:t>校科字</w:t>
      </w:r>
      <w:proofErr w:type="gramEnd"/>
      <w:r w:rsidRPr="00493DC8">
        <w:rPr>
          <w:rFonts w:asciiTheme="minorEastAsia" w:hAnsiTheme="minorEastAsia" w:hint="eastAsia"/>
          <w:bCs/>
          <w:spacing w:val="10"/>
          <w:sz w:val="28"/>
          <w:szCs w:val="28"/>
        </w:rPr>
        <w:t>〔2014〕17号）</w:t>
      </w:r>
      <w:r>
        <w:rPr>
          <w:rFonts w:asciiTheme="minorEastAsia" w:hAnsiTheme="minorEastAsia" w:hint="eastAsia"/>
          <w:bCs/>
          <w:spacing w:val="10"/>
          <w:sz w:val="28"/>
          <w:szCs w:val="28"/>
        </w:rPr>
        <w:t>和</w:t>
      </w:r>
      <w:r w:rsidRPr="00493DC8">
        <w:rPr>
          <w:rFonts w:asciiTheme="minorEastAsia" w:hAnsiTheme="minorEastAsia"/>
          <w:spacing w:val="10"/>
          <w:sz w:val="28"/>
          <w:szCs w:val="28"/>
        </w:rPr>
        <w:t>《安徽师范大学发放横向科研项目间接费用绩效支出的实施细则》</w:t>
      </w:r>
      <w:r w:rsidRPr="00493DC8">
        <w:rPr>
          <w:rFonts w:asciiTheme="minorEastAsia" w:hAnsiTheme="minorEastAsia" w:hint="eastAsia"/>
          <w:spacing w:val="10"/>
          <w:sz w:val="28"/>
          <w:szCs w:val="28"/>
        </w:rPr>
        <w:t>（</w:t>
      </w:r>
      <w:proofErr w:type="gramStart"/>
      <w:r w:rsidRPr="00493DC8">
        <w:rPr>
          <w:rFonts w:asciiTheme="minorEastAsia" w:hAnsiTheme="minorEastAsia"/>
          <w:spacing w:val="10"/>
          <w:sz w:val="28"/>
          <w:szCs w:val="28"/>
        </w:rPr>
        <w:t>校科字</w:t>
      </w:r>
      <w:proofErr w:type="gramEnd"/>
      <w:r w:rsidRPr="00493DC8">
        <w:rPr>
          <w:rFonts w:asciiTheme="minorEastAsia" w:hAnsiTheme="minorEastAsia"/>
          <w:spacing w:val="10"/>
          <w:sz w:val="28"/>
          <w:szCs w:val="28"/>
        </w:rPr>
        <w:t>〔2014〕27号</w:t>
      </w:r>
      <w:r w:rsidRPr="00493DC8">
        <w:rPr>
          <w:rFonts w:asciiTheme="minorEastAsia" w:hAnsiTheme="minorEastAsia" w:hint="eastAsia"/>
          <w:spacing w:val="10"/>
          <w:sz w:val="28"/>
          <w:szCs w:val="28"/>
        </w:rPr>
        <w:t>）</w:t>
      </w:r>
      <w:r>
        <w:rPr>
          <w:rFonts w:asciiTheme="minorEastAsia" w:hAnsiTheme="minorEastAsia" w:hint="eastAsia"/>
          <w:spacing w:val="10"/>
          <w:sz w:val="28"/>
          <w:szCs w:val="28"/>
        </w:rPr>
        <w:t>的规定，经学院讨论，制定如下分配方案。</w:t>
      </w:r>
    </w:p>
    <w:tbl>
      <w:tblPr>
        <w:tblStyle w:val="a3"/>
        <w:tblW w:w="0" w:type="auto"/>
        <w:tblLook w:val="04A0"/>
      </w:tblPr>
      <w:tblGrid>
        <w:gridCol w:w="1704"/>
        <w:gridCol w:w="2657"/>
        <w:gridCol w:w="1701"/>
        <w:gridCol w:w="2410"/>
      </w:tblGrid>
      <w:tr w:rsidR="00FF0B12" w:rsidRPr="002823C1" w:rsidTr="003A753C">
        <w:trPr>
          <w:trHeight w:hRule="exact" w:val="510"/>
        </w:trPr>
        <w:tc>
          <w:tcPr>
            <w:tcW w:w="8472" w:type="dxa"/>
            <w:gridSpan w:val="4"/>
            <w:vAlign w:val="center"/>
          </w:tcPr>
          <w:p w:rsidR="00FF0B12" w:rsidRPr="00FF0B12" w:rsidRDefault="00FF0B12" w:rsidP="00FF0B1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F0B12">
              <w:rPr>
                <w:rFonts w:asciiTheme="minorEastAsia" w:hAnsiTheme="minorEastAsia" w:hint="eastAsia"/>
                <w:b/>
                <w:szCs w:val="21"/>
              </w:rPr>
              <w:t>一、基本信息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2657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登记时间</w:t>
            </w:r>
          </w:p>
        </w:tc>
        <w:tc>
          <w:tcPr>
            <w:tcW w:w="2410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0B12" w:rsidRPr="002823C1" w:rsidTr="003A753C">
        <w:trPr>
          <w:trHeight w:hRule="exact" w:val="510"/>
        </w:trPr>
        <w:tc>
          <w:tcPr>
            <w:tcW w:w="8472" w:type="dxa"/>
            <w:gridSpan w:val="4"/>
            <w:vAlign w:val="center"/>
          </w:tcPr>
          <w:p w:rsidR="00FF0B12" w:rsidRPr="00FF0B12" w:rsidRDefault="00FF0B12" w:rsidP="00FF0B1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二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、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绩效支出费用分配方案（</w:t>
            </w:r>
            <w:proofErr w:type="gramStart"/>
            <w:r w:rsidRPr="00FF0B12">
              <w:rPr>
                <w:rFonts w:asciiTheme="minorEastAsia" w:hAnsiTheme="minorEastAsia" w:hint="eastAsia"/>
                <w:b/>
                <w:bCs/>
                <w:szCs w:val="21"/>
              </w:rPr>
              <w:t>校科字</w:t>
            </w:r>
            <w:proofErr w:type="gramEnd"/>
            <w:r w:rsidRPr="00FF0B12">
              <w:rPr>
                <w:rFonts w:asciiTheme="minorEastAsia" w:hAnsiTheme="minorEastAsia" w:hint="eastAsia"/>
                <w:b/>
                <w:bCs/>
                <w:szCs w:val="21"/>
              </w:rPr>
              <w:t>〔2014〕17号第</w:t>
            </w:r>
            <w:r w:rsidRPr="00FF0B12">
              <w:rPr>
                <w:rFonts w:asciiTheme="minorEastAsia" w:hAnsiTheme="minorEastAsia" w:hint="eastAsia"/>
                <w:b/>
                <w:bCs/>
                <w:szCs w:val="21"/>
              </w:rPr>
              <w:t>十九</w:t>
            </w:r>
            <w:r w:rsidRPr="00FF0B12">
              <w:rPr>
                <w:rFonts w:asciiTheme="minorEastAsia" w:hAnsiTheme="minorEastAsia" w:hint="eastAsia"/>
                <w:b/>
                <w:bCs/>
                <w:szCs w:val="21"/>
              </w:rPr>
              <w:t>条）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2823C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2657" w:type="dxa"/>
            <w:vAlign w:val="center"/>
          </w:tcPr>
          <w:p w:rsidR="00FF0B12" w:rsidRPr="00FA754A" w:rsidRDefault="00FF0B12" w:rsidP="002823C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学院公共费用提取比例（%）</w:t>
            </w:r>
          </w:p>
        </w:tc>
        <w:tc>
          <w:tcPr>
            <w:tcW w:w="4111" w:type="dxa"/>
            <w:gridSpan w:val="2"/>
            <w:vAlign w:val="center"/>
          </w:tcPr>
          <w:p w:rsidR="00FF0B12" w:rsidRPr="00FA754A" w:rsidRDefault="00FF0B12" w:rsidP="00FA75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拨入</w:t>
            </w:r>
            <w:r>
              <w:rPr>
                <w:rFonts w:asciiTheme="minorEastAsia" w:hAnsiTheme="minorEastAsia" w:hint="eastAsia"/>
                <w:szCs w:val="21"/>
              </w:rPr>
              <w:t>账户</w:t>
            </w:r>
            <w:r w:rsidRPr="00FA754A">
              <w:rPr>
                <w:rFonts w:asciiTheme="minorEastAsia" w:hAnsiTheme="minorEastAsia" w:hint="eastAsia"/>
                <w:szCs w:val="21"/>
              </w:rPr>
              <w:t>（学院横向科研项目专项账</w:t>
            </w:r>
            <w:r>
              <w:rPr>
                <w:rFonts w:asciiTheme="minorEastAsia" w:hAnsiTheme="minorEastAsia" w:hint="eastAsia"/>
                <w:szCs w:val="21"/>
              </w:rPr>
              <w:t>户</w:t>
            </w:r>
            <w:r w:rsidRPr="00FA754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2823C1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57" w:type="dxa"/>
            <w:vAlign w:val="center"/>
          </w:tcPr>
          <w:p w:rsidR="00FF0B12" w:rsidRPr="00FA754A" w:rsidRDefault="00FF0B12" w:rsidP="002823C1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F0B12" w:rsidRPr="00FA754A" w:rsidRDefault="00FF0B12" w:rsidP="002823C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 ）-061502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2823C1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57" w:type="dxa"/>
            <w:vAlign w:val="center"/>
          </w:tcPr>
          <w:p w:rsidR="00FF0B12" w:rsidRPr="00FA754A" w:rsidRDefault="00FF0B12" w:rsidP="002823C1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F0B12" w:rsidRPr="00FA754A" w:rsidRDefault="00FF0B12" w:rsidP="002823C1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F0B12" w:rsidRPr="002823C1" w:rsidTr="003A753C">
        <w:trPr>
          <w:trHeight w:hRule="exact" w:val="510"/>
        </w:trPr>
        <w:tc>
          <w:tcPr>
            <w:tcW w:w="8472" w:type="dxa"/>
            <w:gridSpan w:val="4"/>
            <w:vAlign w:val="center"/>
          </w:tcPr>
          <w:p w:rsidR="00FF0B12" w:rsidRPr="00FF0B12" w:rsidRDefault="00FF0B12" w:rsidP="00FF0B12">
            <w:pPr>
              <w:jc w:val="left"/>
              <w:rPr>
                <w:rFonts w:asciiTheme="minorEastAsia" w:hAnsiTheme="minorEastAsia" w:hint="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三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、依据本办法执行的项目结题后的结余经费分配方案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（</w:t>
            </w:r>
            <w:proofErr w:type="gramStart"/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校科字</w:t>
            </w:r>
            <w:proofErr w:type="gramEnd"/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〔2014〕17号第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二十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条）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2657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学院公共费用提取比例（%）</w:t>
            </w:r>
          </w:p>
        </w:tc>
        <w:tc>
          <w:tcPr>
            <w:tcW w:w="4111" w:type="dxa"/>
            <w:gridSpan w:val="2"/>
            <w:vAlign w:val="center"/>
          </w:tcPr>
          <w:p w:rsidR="00FF0B12" w:rsidRPr="00FA754A" w:rsidRDefault="00FF0B12" w:rsidP="00FA75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拨入</w:t>
            </w:r>
            <w:r>
              <w:rPr>
                <w:rFonts w:asciiTheme="minorEastAsia" w:hAnsiTheme="minorEastAsia" w:hint="eastAsia"/>
                <w:szCs w:val="21"/>
              </w:rPr>
              <w:t>账户</w:t>
            </w:r>
            <w:r w:rsidRPr="00FA754A">
              <w:rPr>
                <w:rFonts w:asciiTheme="minorEastAsia" w:hAnsiTheme="minorEastAsia" w:hint="eastAsia"/>
                <w:szCs w:val="21"/>
              </w:rPr>
              <w:t>（学院横向科研项目专项账</w:t>
            </w:r>
            <w:r>
              <w:rPr>
                <w:rFonts w:asciiTheme="minorEastAsia" w:hAnsiTheme="minorEastAsia" w:hint="eastAsia"/>
                <w:szCs w:val="21"/>
              </w:rPr>
              <w:t>户</w:t>
            </w:r>
            <w:r w:rsidRPr="00FA754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57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 ）-061502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57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F0B12" w:rsidRPr="002823C1" w:rsidTr="003A753C">
        <w:trPr>
          <w:trHeight w:hRule="exact" w:val="510"/>
        </w:trPr>
        <w:tc>
          <w:tcPr>
            <w:tcW w:w="8472" w:type="dxa"/>
            <w:gridSpan w:val="4"/>
            <w:vAlign w:val="center"/>
          </w:tcPr>
          <w:p w:rsidR="00FF0B12" w:rsidRPr="00FF0B12" w:rsidRDefault="00FF0B12" w:rsidP="00FF0B12">
            <w:pPr>
              <w:jc w:val="left"/>
              <w:rPr>
                <w:rFonts w:asciiTheme="minorEastAsia" w:hAnsiTheme="minorEastAsia" w:hint="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四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、本办法执行前已结题项目的结余经费分配方案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（</w:t>
            </w:r>
            <w:proofErr w:type="gramStart"/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校科字</w:t>
            </w:r>
            <w:proofErr w:type="gramEnd"/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〔2014〕17号第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二十一</w:t>
            </w:r>
            <w:r w:rsidRPr="00FF0B12">
              <w:rPr>
                <w:rFonts w:asciiTheme="minorEastAsia" w:hAnsiTheme="minorEastAsia" w:hint="eastAsia"/>
                <w:b/>
                <w:color w:val="000000"/>
                <w:szCs w:val="21"/>
              </w:rPr>
              <w:t>条）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2657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学院公共费用提取比例（%）</w:t>
            </w:r>
          </w:p>
        </w:tc>
        <w:tc>
          <w:tcPr>
            <w:tcW w:w="4111" w:type="dxa"/>
            <w:gridSpan w:val="2"/>
            <w:vAlign w:val="center"/>
          </w:tcPr>
          <w:p w:rsidR="00FF0B12" w:rsidRPr="00FA754A" w:rsidRDefault="00FF0B12" w:rsidP="00FA75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FA754A">
              <w:rPr>
                <w:rFonts w:asciiTheme="minorEastAsia" w:hAnsiTheme="minorEastAsia" w:hint="eastAsia"/>
                <w:szCs w:val="21"/>
              </w:rPr>
              <w:t>拨入</w:t>
            </w:r>
            <w:r>
              <w:rPr>
                <w:rFonts w:asciiTheme="minorEastAsia" w:hAnsiTheme="minorEastAsia" w:hint="eastAsia"/>
                <w:szCs w:val="21"/>
              </w:rPr>
              <w:t>账户</w:t>
            </w:r>
            <w:r w:rsidRPr="00FA754A">
              <w:rPr>
                <w:rFonts w:asciiTheme="minorEastAsia" w:hAnsiTheme="minorEastAsia" w:hint="eastAsia"/>
                <w:szCs w:val="21"/>
              </w:rPr>
              <w:t>（学院横向科研项目专项账</w:t>
            </w:r>
            <w:r>
              <w:rPr>
                <w:rFonts w:asciiTheme="minorEastAsia" w:hAnsiTheme="minorEastAsia" w:hint="eastAsia"/>
                <w:szCs w:val="21"/>
              </w:rPr>
              <w:t>户</w:t>
            </w:r>
            <w:r w:rsidRPr="00FA754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57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 ）-061502</w:t>
            </w:r>
          </w:p>
        </w:tc>
      </w:tr>
      <w:tr w:rsidR="00FF0B12" w:rsidRPr="002823C1" w:rsidTr="003A753C">
        <w:trPr>
          <w:trHeight w:hRule="exact" w:val="510"/>
        </w:trPr>
        <w:tc>
          <w:tcPr>
            <w:tcW w:w="1704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57" w:type="dxa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F0B12" w:rsidRPr="00FA754A" w:rsidRDefault="00FF0B12" w:rsidP="007F4E18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F0B12" w:rsidRPr="002823C1" w:rsidTr="003A753C">
        <w:trPr>
          <w:trHeight w:hRule="exact" w:val="510"/>
        </w:trPr>
        <w:tc>
          <w:tcPr>
            <w:tcW w:w="8472" w:type="dxa"/>
            <w:gridSpan w:val="4"/>
            <w:vAlign w:val="center"/>
          </w:tcPr>
          <w:p w:rsidR="00FF0B12" w:rsidRPr="00FF0B12" w:rsidRDefault="00FF0B12" w:rsidP="00FF0B12">
            <w:pPr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五</w:t>
            </w:r>
            <w:r w:rsidRPr="00FF0B12">
              <w:rPr>
                <w:rFonts w:asciiTheme="minorEastAsia" w:hAnsiTheme="minorEastAsia" w:hint="eastAsia"/>
                <w:b/>
                <w:szCs w:val="21"/>
              </w:rPr>
              <w:t>、承诺书</w:t>
            </w:r>
          </w:p>
        </w:tc>
      </w:tr>
      <w:tr w:rsidR="00FF0B12" w:rsidRPr="002823C1" w:rsidTr="003A753C">
        <w:trPr>
          <w:trHeight w:hRule="exact" w:val="2092"/>
        </w:trPr>
        <w:tc>
          <w:tcPr>
            <w:tcW w:w="8472" w:type="dxa"/>
            <w:gridSpan w:val="4"/>
            <w:vAlign w:val="center"/>
          </w:tcPr>
          <w:p w:rsidR="00FF0B12" w:rsidRDefault="00FF0B12" w:rsidP="00FA754A">
            <w:pPr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学院承诺</w:t>
            </w:r>
            <w:r w:rsidRPr="00FA754A">
              <w:rPr>
                <w:rFonts w:asciiTheme="minorEastAsia" w:hAnsiTheme="minorEastAsia" w:hint="eastAsia"/>
                <w:szCs w:val="21"/>
              </w:rPr>
              <w:t>负责审查项目负责人及项目</w:t>
            </w:r>
            <w:proofErr w:type="gramStart"/>
            <w:r w:rsidRPr="00FA754A">
              <w:rPr>
                <w:rFonts w:asciiTheme="minorEastAsia" w:hAnsiTheme="minorEastAsia" w:hint="eastAsia"/>
                <w:szCs w:val="21"/>
              </w:rPr>
              <w:t>组履行</w:t>
            </w:r>
            <w:proofErr w:type="gramEnd"/>
            <w:r w:rsidRPr="00FA754A">
              <w:rPr>
                <w:rFonts w:asciiTheme="minorEastAsia" w:hAnsiTheme="minorEastAsia" w:hint="eastAsia"/>
                <w:szCs w:val="21"/>
              </w:rPr>
              <w:t>合同的能力和所涉及技术的真实性、合法性、可行性</w:t>
            </w:r>
            <w:r>
              <w:rPr>
                <w:rFonts w:asciiTheme="minorEastAsia" w:hAnsiTheme="minorEastAsia" w:hint="eastAsia"/>
                <w:szCs w:val="21"/>
              </w:rPr>
              <w:t>，负责监管本单位科研经费使用情况，确保绩效支出费用的规范使用。</w:t>
            </w:r>
          </w:p>
          <w:p w:rsidR="003A753C" w:rsidRDefault="003A753C" w:rsidP="00FA754A">
            <w:pPr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</w:p>
          <w:p w:rsidR="00FF0B12" w:rsidRDefault="00FF0B12" w:rsidP="00FA754A">
            <w:pPr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学院签章</w:t>
            </w:r>
            <w:r w:rsidR="003A753C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FF0B12" w:rsidRDefault="00FF0B12" w:rsidP="00FA754A">
            <w:pPr>
              <w:ind w:firstLineChars="200" w:firstLine="420"/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 日</w:t>
            </w:r>
          </w:p>
        </w:tc>
      </w:tr>
    </w:tbl>
    <w:p w:rsidR="00493DC8" w:rsidRPr="003A753C" w:rsidRDefault="003A753C" w:rsidP="003A753C">
      <w:pPr>
        <w:rPr>
          <w:rFonts w:asciiTheme="minorEastAsia" w:hAnsiTheme="minorEastAsia"/>
          <w:spacing w:val="10"/>
          <w:szCs w:val="21"/>
        </w:rPr>
      </w:pPr>
      <w:r w:rsidRPr="00D94326">
        <w:rPr>
          <w:rFonts w:asciiTheme="minorEastAsia" w:hAnsiTheme="minorEastAsia" w:hint="eastAsia"/>
          <w:spacing w:val="10"/>
          <w:szCs w:val="21"/>
        </w:rPr>
        <w:t>备注：</w:t>
      </w:r>
      <w:r>
        <w:rPr>
          <w:rFonts w:asciiTheme="minorEastAsia" w:hAnsiTheme="minorEastAsia" w:hint="eastAsia"/>
          <w:spacing w:val="10"/>
          <w:szCs w:val="21"/>
        </w:rPr>
        <w:t>1.</w:t>
      </w:r>
      <w:r w:rsidRPr="003A753C">
        <w:rPr>
          <w:rFonts w:asciiTheme="minorEastAsia" w:hAnsiTheme="minorEastAsia" w:hint="eastAsia"/>
          <w:spacing w:val="10"/>
          <w:szCs w:val="21"/>
        </w:rPr>
        <w:t>类别一览</w:t>
      </w:r>
      <w:r>
        <w:rPr>
          <w:rFonts w:asciiTheme="minorEastAsia" w:hAnsiTheme="minorEastAsia" w:hint="eastAsia"/>
          <w:spacing w:val="10"/>
          <w:szCs w:val="21"/>
        </w:rPr>
        <w:t>，</w:t>
      </w:r>
      <w:r w:rsidRPr="003A753C">
        <w:rPr>
          <w:rFonts w:asciiTheme="minorEastAsia" w:hAnsiTheme="minorEastAsia" w:hint="eastAsia"/>
          <w:spacing w:val="10"/>
          <w:szCs w:val="21"/>
        </w:rPr>
        <w:t>依学院特点可分为资质</w:t>
      </w:r>
      <w:r>
        <w:rPr>
          <w:rFonts w:asciiTheme="minorEastAsia" w:hAnsiTheme="minorEastAsia" w:hint="eastAsia"/>
          <w:spacing w:val="10"/>
          <w:szCs w:val="21"/>
        </w:rPr>
        <w:t>类横向科研</w:t>
      </w:r>
      <w:r w:rsidRPr="003A753C">
        <w:rPr>
          <w:rFonts w:asciiTheme="minorEastAsia" w:hAnsiTheme="minorEastAsia" w:hint="eastAsia"/>
          <w:spacing w:val="10"/>
          <w:szCs w:val="21"/>
        </w:rPr>
        <w:t>项目和非资质</w:t>
      </w:r>
      <w:r>
        <w:rPr>
          <w:rFonts w:asciiTheme="minorEastAsia" w:hAnsiTheme="minorEastAsia" w:hint="eastAsia"/>
          <w:spacing w:val="10"/>
          <w:szCs w:val="21"/>
        </w:rPr>
        <w:t>类横向科研</w:t>
      </w:r>
      <w:r w:rsidRPr="003A753C">
        <w:rPr>
          <w:rFonts w:asciiTheme="minorEastAsia" w:hAnsiTheme="minorEastAsia" w:hint="eastAsia"/>
          <w:spacing w:val="10"/>
          <w:szCs w:val="21"/>
        </w:rPr>
        <w:t>项目</w:t>
      </w:r>
      <w:r>
        <w:rPr>
          <w:rFonts w:asciiTheme="minorEastAsia" w:hAnsiTheme="minorEastAsia" w:hint="eastAsia"/>
          <w:spacing w:val="10"/>
          <w:szCs w:val="21"/>
        </w:rPr>
        <w:t>，如不分类，则填写全部横向科研项目。2.拨入账户一览，仅需在括弧内填入学院代码。</w:t>
      </w:r>
    </w:p>
    <w:sectPr w:rsidR="00493DC8" w:rsidRPr="003A753C" w:rsidSect="009E6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9BF"/>
    <w:rsid w:val="000A48ED"/>
    <w:rsid w:val="00104B3D"/>
    <w:rsid w:val="001929BF"/>
    <w:rsid w:val="002823C1"/>
    <w:rsid w:val="003A753C"/>
    <w:rsid w:val="00493DC8"/>
    <w:rsid w:val="00956F4A"/>
    <w:rsid w:val="00991674"/>
    <w:rsid w:val="009E606C"/>
    <w:rsid w:val="00A760DC"/>
    <w:rsid w:val="00B16E6E"/>
    <w:rsid w:val="00D94326"/>
    <w:rsid w:val="00E26C5C"/>
    <w:rsid w:val="00FA754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3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2015-05-11T06:32:00Z</dcterms:created>
  <dcterms:modified xsi:type="dcterms:W3CDTF">2015-05-20T03:08:00Z</dcterms:modified>
</cp:coreProperties>
</file>